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9D" w:rsidRDefault="00C74E9D" w:rsidP="00C74E9D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  <w:t>ZAKON</w:t>
      </w:r>
    </w:p>
    <w:p w:rsidR="00C74E9D" w:rsidRDefault="00C74E9D" w:rsidP="00C74E9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O POREZU NA DOBIT PRAVNIH LICA</w:t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(Objavljen u "Sl. listu RCG", br. 65 od 31. decembra 2001, 12/02, 80/04, "Sl. listu CG", br. 40 od 27. juna 2008, 86/09, 40/11, 14/12, 61/13)</w:t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 OPŠTE ODREDBE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0" name="Picture 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9" name="Picture 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1" w:name="1001"/>
      <w:bookmarkEnd w:id="1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Ovim zakonom se uređuje sistem i uvodi obaveza plaćanja poreza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pravnih lica (u daljem tekstu: porez na dobit).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Prihodi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poreza na dobit pripadaju budžetu Crne Gore.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II PORESKI OBVEZNIK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8" name="Picture 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7" name="Picture 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3" w:name="1002"/>
      <w:bookmarkEnd w:id="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Poreski obveznik poreza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je rezidentno, odnosno nerezidentno pravno lice koje obavlja djelatnost radi sticanja dobiti.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Pravnim licem, u smislu ovog zakona, smatra se i komanditno društvo.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Rezident i nerezident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6" name="Picture 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5" name="Picture 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5" w:name="1003"/>
      <w:bookmarkEnd w:id="5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Rezidentno pravno lice (u daljem tekstu: rezident) je lice osnovano u Crnoj Gori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koje ima sjedište stvarne uprave i kontrole na teritoriji Crne Gore.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Nerezidentno pravno lice (u daljem tekstu: nerezident) je lice koje nije osnovano u Crnoj Gori 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nema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sjedište stvarne uprave i kontrole u Crnoj Gori, a koje svoje poslovanje obavlja preko stalne poslovne jedinice.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III PREDMET OPOREZIVANJA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4" name="Picture 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3" name="Picture 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7" w:name="1004"/>
      <w:bookmarkEnd w:id="7"/>
      <w:r>
        <w:rPr>
          <w:rStyle w:val="expand"/>
          <w:rFonts w:ascii="Arial" w:hAnsi="Arial" w:cs="Arial"/>
          <w:color w:val="000000"/>
          <w:sz w:val="18"/>
          <w:szCs w:val="18"/>
        </w:rPr>
        <w:t>     (1) Predmet oporezivanja rezidenta je dobit koju rezident ostvari u Crnoj Gori i izvan Crne Gore.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Predmet oporezivanja nerezidenta je dobit koju nerezident ostvari u Crnoj Gori.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Predmet oporezivanja stalne poslovne jedinice nerezidenta (u daljem tekstu: stalna poslovna jedinica) je dobit koju ostvari ta poslovna jedinica.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Stalnom poslovnom jedinicom smatra se stalno mjesto poslovanja preko kojeg pravno lice u potpunosti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djelimično vodi svoje poslovanje i koje je organizovano u jednom od sljedećih oblika: mjesto uprave, filijala, kancelarija, fabrika, radionica, rudnik, nalazište nafte ili gasa, kamenolom ili bilo koje drugo mjesto gdje se vrši eksploatacija prirodnog bogatstva. Gradilište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montažni objekat konstituiše stalnu poslovnu jedinicu jedino ako traje duže od šest mjeseci.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(5) Pod stalnom poslovnom jedinicom iz stava 4 ovog člana ne smatra se: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korišćenje objekata za čuvanje, izlaganje ili isporuku dobara koja pripadaju pravnom licu;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držanje zaliha dobara koja pripadaju pravnom licu radi čuvanja, izlaganja ili isporuke;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3) čuvanje zaliha dobara koja pripadaju pravnom licu za preradu od strane drugog pravnog lica;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4) vođenje stalnog mjesta poslovanja za nabavku dobara ili prikupljanje informacija za pravno lice;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5) vođenje stalnog mjesta poslovanja za poslovanje pravnog lica i sve ostale aktivnosti koje su pripremnog i pomoćnog karaktera;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6) vođenje stalnog mjesta poslovanja za bilo koju namjenu iz tač. 1)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do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4) ovog stava, koje obezbjeđuju da ukupne aktivnosti stalnog mjesta poslovanja koje proizilaze iz ove namjene imaju pripremni i pomoćni karakter.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(6) Predmet oporezivanja nerezidenta koji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nema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stalnu poslovnu jedinicu su prihodi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5" w:anchor="clan29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29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>stav 1 tačka 2) ovog zakona.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Izvori dobiti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85725"/>
            <wp:effectExtent l="19050" t="0" r="9525" b="0"/>
            <wp:docPr id="622" name="Picture 9" descr="http://www.podaci.net/_novo/img/p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_novo/img/pl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1" name="Picture 1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9" w:name="1005"/>
      <w:bookmarkEnd w:id="9"/>
      <w:r>
        <w:rPr>
          <w:rStyle w:val="expand"/>
          <w:rFonts w:ascii="Arial" w:hAnsi="Arial" w:cs="Arial"/>
          <w:color w:val="000000"/>
          <w:sz w:val="18"/>
          <w:szCs w:val="18"/>
        </w:rPr>
        <w:t>     (1) Izvorima dobiti u Crnoj Gori smatraju se prihodi ostvareni po osnovu: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prodaje dobara proizvedenih u Crnoj Gori;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pružanja usluga u Crnoj Gori;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3) kamata, ako terete rezidenta ili nerezidenta preko njegove stalne poslovne jedinice u Crnoj Gori;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4) dividendi i udjela u dobiti isplaćenih od strane rezidenta;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5) korišćenje imovinskih prava u Crnoj Gori;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6) eksploatacije prirodnog bogatstva;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7) nepokretnosti i prava na nepokretnostima koje se nalaze u Crnoj Gori;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8) prodaje nepokretne imovine koja se nalazi u Crnoj Gori;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9) prodaje pokretne imovine, ukoliko se njen prodavac nalazi u Crnoj Gori;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10) osiguranja i reosiguranja od rizika ostvarenih u Crnoj Gori.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Izvorima dobiti u Crnoj Gori smatraju se i drugi prihodi, ukoliko su nastali po osnovu obavljanja djelatnosti u Crnoj Gori.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Ministarstvo nadležno za finansije, u slučaju potrebe može bliže urediti šta se smatra prihodima iz stava 2.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ovog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člana.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IV PORESKA IZUZEĆA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0" name="Picture 1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9" name="Picture 1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11" w:name="1006"/>
      <w:bookmarkEnd w:id="11"/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 xml:space="preserve">     (1) Porez na dobit ne plaćaju: državni organi, organi državne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uprave ,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organi lokalne uprave , javni fondovi, javne ustanove, turističke organizacije, sportski klubovi, sportska društva i savezi , vjerske zajednice, umjetnička udruženja, političke stranke, komore, sindikati i nevladine organizacije, ako su u skladu sa posebnim zakonom osnovane za obavljanje nedobitne djelatnosti.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Izuzetno, ako lica iz stava 1 ovog člana obavljaju dobitnu djelatnost, ta lica su obveznici poreza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za tu djelatnost.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 PORESKA OSNOVICA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85725"/>
            <wp:effectExtent l="19050" t="0" r="9525" b="0"/>
            <wp:docPr id="618" name="Picture 13" descr="http://www.podaci.net/_novo/img/p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_novo/img/pl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7" name="Picture 1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13" w:name="1007"/>
      <w:bookmarkEnd w:id="1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Osnovicu poreza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predstavlja oporeziva dobit poreskog obveznika.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Oporeziva dobit se utvrđuje usklađivanjem dobiti poreskog obveznika iskazane u bilansu uspjeha,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način predviđen ovim zakonom.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Kod određivanja poreske osnovice za lica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7" w:anchor="clan6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6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stav 2 ovog zakona, prihodi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obavljanja nedobitne djelatnosti, stvarni ili srazmjerni troškovi u vezi sa tom djelatnošću izuzimaju se iz poreske osnovice.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Usklađivanje prihoda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6" name="Picture 1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5" name="Picture 1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15" w:name="1008"/>
      <w:bookmarkEnd w:id="15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Za utvrđivanje oporezive dobiti priznaju se prihodi u iznosima utvrđenim bilansom uspjeha, u skladu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zakonom kojim se uređuje računovodstvo, izuzev prihoda za koje je ovim zakonom propisan drukčiji način utvrđivanja.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4" name="Picture 1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3" name="Picture 1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17" w:name="1009"/>
      <w:bookmarkEnd w:id="17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Prihodi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dividendi i udjela u dobiti drugih pravnih lica izuzimaju se iz poreske osnovice primaoca, ako je njihov isplatilac obveznik poreza po ovom zakonu.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Usklađivanje rashoda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85725"/>
            <wp:effectExtent l="19050" t="0" r="9525" b="0"/>
            <wp:docPr id="612" name="Picture 19" descr="http://www.podaci.net/_novo/img/p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_novo/img/pl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1" name="Picture 2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19" w:name="1010"/>
      <w:bookmarkEnd w:id="19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Za utvrđivanje oporezive dobiti priznaju se rashodi u iznosima utvrđenim bilansom uspjeha, u skladu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zakonom kojim se uređuje računovodstvo, izuzev rashoda za koje je ovim zakonom propisan drukčiji način utvrđivanja.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0" name="Picture 2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9" name="Picture 2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21" w:name="1011"/>
      <w:bookmarkEnd w:id="21"/>
      <w:r>
        <w:rPr>
          <w:rStyle w:val="expand"/>
          <w:rFonts w:ascii="Arial" w:hAnsi="Arial" w:cs="Arial"/>
          <w:color w:val="000000"/>
          <w:sz w:val="18"/>
          <w:szCs w:val="18"/>
        </w:rPr>
        <w:t>     Na teret rashoda ne priznaju se: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troškovi koji nijesu nastali u svrhu obavljanja poslovne djelatnosti;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troškovi koji se ne mogu dokumentovati;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3) kamate za neblagovremeno plaćene poreze i doprinose;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4) kamate isplaćene nerezidentima, ako su plaćene po stopi višoj od uobičajene komercijalne stope;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>     5) administrativni troškovi plaćeni od strane stalne poslovne jedinice nerezidentnoj centrali;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6) primanja zaposlenih ili drugih lica po osnovu raspodjele dobiti;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7) novčane kazne i penali;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8) ispravka vrijednosti pojedinačnih potraživanja kod lica kojima se istovremeno duguje;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9) prilozi dati političkim organizacijama.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8" name="Picture 2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7" name="Picture 2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23" w:name="1012"/>
      <w:bookmarkEnd w:id="2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Troškovi materijala i nabavna vrijednost prodate trgovačke robe priznaju se u iznosima obračunatim primjenom metode prosječne cijene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FIFO metode, u skladu sa zakonom kojim se uređuje računovodstvo.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6" name="Picture 2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5" name="Picture 2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25" w:name="1013"/>
      <w:bookmarkEnd w:id="25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Amortizacija stalnih osnovnih sredstava i ulaganja u nepokretnosti priznaje se kao rashod u iznosu utvrđenom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način predviđen ovim zakonom.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Stalna osnovna sredstva iz stava 1 ovog člana obuhvataju materijalna i nematerijalna sredstva čiji je vijek trajanja duži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jedne godine i čija vrijednost prelazi 300 Eura.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Osnovna sredstva iz stava 2 ovog člana razvrstavaju se u pet grupa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sledećim amortizacionim stopama: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- I grupa 5%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- II grupa 15%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- III grupa 20%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- IV grupa 25%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- V grupa 30%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(4) Amortizacija za stalna osnovna sredstva razvrstana u prvu grupu utvrđuje se primjenom proporcionalne stope, za svako sredstvo posebno.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(5) Amortizacija za osnovna sredstva razvrstana u ostale grupe (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druge do pete) utvrđuje se primjenom degresivne stope na vrijednost sredstava razvrstanih po grupama.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(6) Bliži propis o razvrstavanju osnovnih sredstava po grupama i metodama za utvrđivanje amortizacije donosi ministar nadležan za finansije.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4" name="Picture 2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3" name="Picture 2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27" w:name="1014"/>
      <w:bookmarkEnd w:id="27"/>
      <w:r>
        <w:rPr>
          <w:rStyle w:val="expand"/>
          <w:rFonts w:ascii="Arial" w:hAnsi="Arial" w:cs="Arial"/>
          <w:color w:val="000000"/>
          <w:sz w:val="18"/>
          <w:szCs w:val="18"/>
        </w:rPr>
        <w:t>     Izdaci za zdravstvene, obrazovne, naučne, vjerske, kulturne, sportske i humanitarne svrhe, kao i za zaštitu životne sredine, priznaju se kao rashod najviše do 3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,5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>% ukupnog prihoda.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2" name="Picture 2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7" name="Picture 3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29" w:name="1015"/>
      <w:bookmarkEnd w:id="29"/>
      <w:r>
        <w:rPr>
          <w:rStyle w:val="expand"/>
          <w:rFonts w:ascii="Arial" w:hAnsi="Arial" w:cs="Arial"/>
          <w:color w:val="000000"/>
          <w:sz w:val="18"/>
          <w:szCs w:val="18"/>
        </w:rPr>
        <w:t>     Izdaci za reprezentaciju priznaju se kao rashod u iznosu do 1% ukupnog prihoda pod uslovom: da su nastali radi unapređenja poslovanja, da su dokumentovani i da njihov primalac nije povezano lice.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6" name="Picture 3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5" name="Picture 3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31" w:name="1016"/>
      <w:bookmarkEnd w:id="31"/>
      <w:r>
        <w:rPr>
          <w:rStyle w:val="expand"/>
          <w:rFonts w:ascii="Arial" w:hAnsi="Arial" w:cs="Arial"/>
          <w:color w:val="000000"/>
          <w:sz w:val="18"/>
          <w:szCs w:val="18"/>
        </w:rPr>
        <w:t>     Članarine komorama, savezima i udruženjima priznaju se kao rashod najviše do 0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,1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>% ukupnog prihoda, izuzev članarine čija je visina utvrđena zakonom, koje se priznaju u visini zakonom propisanog iznosa.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4" name="Picture 3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3" name="Picture 3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33" w:name="1017"/>
      <w:bookmarkEnd w:id="33"/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 xml:space="preserve">     (1) Izvršeno ispravljanje (otpis vrijednosti) sumnjivih potraživanja priznaje se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teret rashoda, pod uslovom: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da se nesumnjivo dokaže da su ta potraživanja bila prethodno uključena u prihode poreskog obveznika;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da je to potraživanje u knjigama poreskog obveznika otpisano kao nenaplativo;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3) da poreski obveznik pruži potrebne dokaze o neuspjeloj naplati tih potraživanja.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Sumnjiva potraživanja koja su priznata kao rashod, a zatim naplaćena, uključuju se u prihode poreskog obveznika u momentu njihove naplate.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2" name="Picture 3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1" name="Picture 3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35" w:name="1018"/>
      <w:bookmarkEnd w:id="35"/>
      <w:r>
        <w:rPr>
          <w:rStyle w:val="expand"/>
          <w:rFonts w:ascii="Arial" w:hAnsi="Arial" w:cs="Arial"/>
          <w:color w:val="000000"/>
          <w:sz w:val="18"/>
          <w:szCs w:val="18"/>
        </w:rPr>
        <w:t>     (1) Rezervisanja (rezerve) kod banaka priznaju se kao rashod najviše do iznosa utvrđenog zakonom kojim se uređuje poslovanje banaka.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Rezervisanja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posebnih rizika kod berzansko posredničkih društava, priznaju se kao rashod u obračunatim iznosima, a najviše do iznosa koji je utvrđen propisima kojima su uređene hartije od vrijednosti.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Tehnička rezervisanja kod osiguravajućih društava priznaju se kao rashod u obračunatim iznosima, a najviše do iznosa utvrđenog zakonom kojim je uređeno osiguranje.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Rezervisanja po osnovu obnovljivih prirodnih bogatstava, garancija kod prodaje proizvoda i usluga (garantni rok), očekivanih gubitaka po osnovu sudskih sporova (delikatnih ugovora), priznaju se kao rashod u skladu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propisima kojima je uređeno računovodstvo, a rezervisanja po osnovu otpremnina i jubilarnih nagrada najviše do iznosa utvrđenog zakonom o radu.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(5) Rozervisanja iz ovog člana priznaju se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način da se prihodi izuzimaju, a rashodi priznaju, tako da se u poresku osnovicu ponovo ne uključuju prihodi i rashodi koji su prethodno povećavali i smanjivali poresku osnovicu.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0" name="Picture 3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9" name="Picture 3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37" w:name="1019"/>
      <w:bookmarkEnd w:id="37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Kamate i pripadajući troškovi prema povjeriocu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statusom povezanog lica priznaju se na teret rashoda u visini koja ne prelazi troškove kamata na otvorenom tržištu, ako ti troškovi ne prelaze iznos koji je stvarno plaćen.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8" name="Picture 3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7" name="Picture 4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39" w:name="1020"/>
      <w:bookmarkEnd w:id="39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Razlika između kamate obračunate po principu "van dohvata ruke" i stvarno primljene kamate uključuje se u poresku osnovicu primaoca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te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kamate.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Kapitalni dobici i gubici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6" name="Picture 4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5" name="Picture 4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41" w:name="1021"/>
      <w:bookmarkEnd w:id="41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Kapitalnim dobitkom smatra se prihod koji poreski obveznik ostvari prodajom, odnosno drugim prenosom uz naknadu (u daljem tekstu: prodaja) zemljišta, građevinskih objekata, imovinskih prava, udjela u kapitalu i hartija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vrijednosti.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4" name="Picture 4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3" name="Picture 4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43" w:name="1022"/>
      <w:bookmarkEnd w:id="43"/>
      <w:r>
        <w:rPr>
          <w:rStyle w:val="expand"/>
          <w:rFonts w:ascii="Arial" w:hAnsi="Arial" w:cs="Arial"/>
          <w:color w:val="000000"/>
          <w:sz w:val="18"/>
          <w:szCs w:val="18"/>
        </w:rPr>
        <w:t>     (1) Kapitalni dobitak predstavlja razliku između prodajne cijene imovine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anchor="clan21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21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ovog zakona (u daljem tekstu: imovina) i njene nabavne cijene usklađene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način predviđen ovim zakonom.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Negativna razlika iz stava 1 ovog člana predstavlja kapitalni gubitak.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Ukoliko su učesnici u prodaji imovine povezana lica i ako je prodajna cijena niža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tržišne vrijednosti, prilagođavanje tržišne vrijednosti imovine vrši nadležni poreski organ.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 xml:space="preserve">     (4) Kapitalni gubici mogu se prebijati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kapitalnim dobicima ostvarenim u istoj godini.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(5) Ako se i poslije izvršenog prebijanja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kapitalnim dobicima ostvarenim u istoj godini pojavi kapitalni gubitak, poreski obveznik može prenijeti kapitalni gubitak na račun budućih kapitalnih dobitaka u narednih pet godina.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2" name="Picture 4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1" name="Picture 4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45" w:name="1023"/>
      <w:bookmarkEnd w:id="45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Prodajnom cijenom imovine, za svrhe određivanja kapitalnog dobitka, smatra se tržišna vrijednost imovine primljene u obliku novčane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nenovčane naknade, umanjena za troškove prodaje, odnosno troškove drugog prenosa imovine.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0" name="Picture 4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9" name="Picture 4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47" w:name="1024"/>
      <w:bookmarkEnd w:id="47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Nabavna cijena imovine, za svrhe određivanja kapitalnog dobitka je cijena po kojoj je poreski obveznik stekao imovinu, odnosno procijenjena fer vrijednost imovine, utvrđena u skladu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propisima kojima je uređeno računovodstvo, umanjena za troškove amortizacije, utvrđene na način predviđen ovim zakonom.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Poreski tretman poslovnih gubitaka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8" name="Picture 4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7" name="Picture 5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49" w:name="1025"/>
      <w:bookmarkEnd w:id="49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Gubici nastali iz poslovnih odnosa, izuzev onih iz kojih proizilaze kapitalni dobici i gubici mogu se prenositi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račun dobiti iz budućih obračunskih perioda, ali ne duže od pet godina.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Poreske pogodnosti iz stava 1 ovog člana primjenjuju se i u slučaju statusnih promjena.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U slučaju statusnih promjena, poreske pogodnosti iz stava 1 ovog člana srazmjerno se dijele prema vrijednosti imovine i o tome se obavještava nadležni poreski organ.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VI PORESKI TRETMAN STATUSNIH PROMJENA I LIKVIDACIJE</w:t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Statusne promjene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6" name="Picture 5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5" name="Picture 5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51" w:name="1026"/>
      <w:bookmarkEnd w:id="51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Prenos imovine u slučaju statusnih promjena (pripajanje, spajanje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podjela) i raspodjela akcijskog kapitala, ne smatra se prodajom imovine u smislu ovog zakona.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Poreska obaveza po osnovu kapitalnih dobitaka iz stava 1 ovog člana nastaje u trenutku kad pravno lice, koje je nastalo statusnom promjenom, izvrši prodaju imovine preuzete po osnovu statusne promjene.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Kapitalni dobitak iz stava 2 ovog člana obračunava se kao razlika između prodajne cijene imovine i njene knjigovodstvene vrijednosti, utvrđene u skladu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računovodstvenim propisima, umanjene za troškove amortizacije utvrđene na način predviđen ovim zakonom.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(4) Pravo na odlaganje plaćanja poreza na dobit za kapitalne dobitke ostvarene na način iz stava 1 ovog člana stiče se ako je vlasnik pravnog lica koje je izvršilo prenos imovine prilikom pripajanja, spajanja ili podjele dobilo naknadu u obliku akcija ili udjela u pravnom licu na koje je prenos imovine izvršen, kao i eventualnu gotovinsku naknadu, čiji iznos ne prelazi 10% nominalne vrijednosti dobijenih akcija, odnosno udjela.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Likvidacija pravnog lica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4" name="Picture 5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3" name="Picture 5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53" w:name="1027"/>
      <w:bookmarkEnd w:id="5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Pravno lice dužno je da, u slučaju likvidacije pravnog lica, utvrdi kapitalni dobitak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gubitak kao da je prodalo imovinu po tržišnoj cijeni.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Nabavna cijena raspodijeljene imovine u postupku likvidacije, za svrhe određivanja kapitalnog dobitka, je jednaka tržišnoj vrijednosti imovine prije njene raspodjele.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Kapitalni dobitak, odnosno kapitalni gubitak se utvrđuje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način predviđen članom 22 ovog zakona.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Kada se u postupku likvidacije imovina zavisnog preduzeća prenosi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matično preduzeće, matično preduzeće nije dužno da utvrđuje kapitalni dobitak, odnosno gubitak.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VII PORESKE STOPE</w:t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 xml:space="preserve">Stope poreza </w:t>
      </w:r>
      <w:proofErr w:type="gramStart"/>
      <w:r>
        <w:rPr>
          <w:rFonts w:ascii="Arial" w:hAnsi="Arial" w:cs="Arial"/>
          <w:b/>
          <w:bCs/>
          <w:color w:val="8A082A"/>
          <w:sz w:val="18"/>
          <w:szCs w:val="18"/>
        </w:rPr>
        <w:t>na</w:t>
      </w:r>
      <w:proofErr w:type="gramEnd"/>
      <w:r>
        <w:rPr>
          <w:rFonts w:ascii="Arial" w:hAnsi="Arial" w:cs="Arial"/>
          <w:b/>
          <w:bCs/>
          <w:color w:val="8A082A"/>
          <w:sz w:val="18"/>
          <w:szCs w:val="18"/>
        </w:rPr>
        <w:t xml:space="preserve"> dobit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54" w:name="clan28"/>
      <w:bookmarkEnd w:id="54"/>
      <w:r>
        <w:rPr>
          <w:rFonts w:ascii="Arial" w:hAnsi="Arial" w:cs="Arial"/>
          <w:b/>
          <w:bCs/>
          <w:color w:val="000000"/>
          <w:sz w:val="18"/>
          <w:szCs w:val="18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85725"/>
            <wp:effectExtent l="19050" t="0" r="9525" b="0"/>
            <wp:docPr id="532" name="Picture 55" descr="http://www.podaci.net/_novo/img/pl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_novo/img/plu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1" name="Picture 5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55" w:name="1028"/>
      <w:bookmarkEnd w:id="55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Stopa poreza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je proporcionalna i iznosi 9% od poreske osnovice.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Stope poreza po odbitku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56" w:name="clan29"/>
      <w:r>
        <w:rPr>
          <w:rFonts w:ascii="Arial" w:hAnsi="Arial" w:cs="Arial"/>
          <w:b/>
          <w:bCs/>
          <w:color w:val="000000"/>
          <w:sz w:val="18"/>
          <w:szCs w:val="18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0" name="Picture 5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9" name="Picture 5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57" w:name="1029"/>
      <w:bookmarkEnd w:id="57"/>
      <w:r>
        <w:rPr>
          <w:rStyle w:val="expand"/>
          <w:rFonts w:ascii="Arial" w:hAnsi="Arial" w:cs="Arial"/>
          <w:color w:val="000000"/>
          <w:sz w:val="18"/>
          <w:szCs w:val="18"/>
        </w:rPr>
        <w:t>     (1) Obveznik poreza na dobit dužan je da obračuna, obustavi i uplati porez po odbitku na prihode isplaćene po osnovu: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dividendi i udjela u dobiti koji se isplaćuju rezidentnim i nerezidentnim pravnim i fizičkim licima;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kamata, naknada za autorska prava i druga prava intelektualne svojine, kapitalnog dobitka, naknada za zakup pokretne i nepokretne imovine , naknada po osnovu konsalting usluga, usluga istraživanja tržišta i revizorskih usluga, koje se isplaćuju nerezidentnom pravnom licu.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Porez po odbitku plaća se po stopi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9 % na osnovicu koju čini iznos bruto prihoda.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Porez po odbitku obračunava se i plaća po propisima koji važe u momentu isplate prihoda.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(4) Porez po odbitku plaća i poslovna jedinica nerezidentnog pravnog lica kada vrši isplatu naknada iz stava 1, tačka 2 ovog člana.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(5) Izuzetno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stava 4 ovog člana, ako se naknada pripisuje kao prihod poslovnoj jedinici nerezidentnog pravnog lica, ne plaća se porez po odbitku.</w:t>
      </w:r>
      <w:r>
        <w:rPr>
          <w:rFonts w:ascii="Arial" w:hAnsi="Arial" w:cs="Arial"/>
          <w:color w:val="000000"/>
          <w:sz w:val="18"/>
          <w:szCs w:val="18"/>
        </w:rPr>
        <w:br/>
      </w:r>
    </w:p>
    <w:bookmarkEnd w:id="56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29a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8" name="Picture 5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7" name="Picture 6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58" w:name="1030"/>
      <w:bookmarkEnd w:id="58"/>
      <w:r>
        <w:rPr>
          <w:rStyle w:val="expand"/>
          <w:rFonts w:ascii="Arial" w:hAnsi="Arial" w:cs="Arial"/>
          <w:color w:val="000000"/>
          <w:sz w:val="18"/>
          <w:szCs w:val="18"/>
        </w:rPr>
        <w:t>     (1) Kod obračuna poreza po odbitku na prihode koji se isplaćuju nerezidentnom pravnom licu, isplatilac prihoda primjenjuje odredbe ugovora o izbjegavanju dvostrukog oporezivanja, pod uslovom da nerezident dokaže status rezidenta države sa kojom je Crna Gora zaključila ugovor o izbjegavanju dvostrukog oporezivanja i da je nerezident stvarni vlasnik prihoda.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Status rezidenta države, sa kojom je zaključen ugovor o izbjegavanju dvostrukog oporezivanja, u smislu stava 1 ovog člana, nerezident dokazuje kod isplatioca prihoda potvrdom ili drugim odgovarajućim dokumentom, ovjerenim od nadležnog organa druge države ugovornice čiji je rezident.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Ako isplatilac prihoda primijeni odredbe ugovora o izbjegavanju dvostrukog oporezivanja, a nijesu ispunjeni </w:t>
      </w:r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>uslovi iz st. 1 i 2 ovog člana, što za posledicu ima manje plaćeni iznos poreza, dužan je da plati razliku između plaćenog poreza i dugovnog poreza, po ovom zakonu.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Poreski organ dužan je da,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zahtjev nerezidentnog pravnog lica, izda potvrdu o porezu plaćenom u Crnoj Gori.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(5) Obveznik poreza po odbitku dužan je da nadležnom poreskom organu podnese izvještaj o uplaćenom porezu po odbitku, a koji se podnosi do kraja februara tekuće godine za prethodnu godinu.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(6) Oblik i sadržinu izvještaja iz stava 5 ovog člana propisuje ministarstvo nadležno za finansije.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(7) Poreski organ o obračunatom porezu po odbitku nerezidentnog pravnog lica obavještava poreski organ u inostranstvu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njegov pisani zahtjev.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VIII PORESKA OSLOBOĐENJA I OLAKŠICE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59" w:name="clan30"/>
      <w:r>
        <w:rPr>
          <w:rFonts w:ascii="Arial" w:hAnsi="Arial" w:cs="Arial"/>
          <w:b/>
          <w:bCs/>
          <w:color w:val="000000"/>
          <w:sz w:val="18"/>
          <w:szCs w:val="18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6" name="Picture 6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5" name="Picture 6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60" w:name="1031"/>
      <w:bookmarkEnd w:id="60"/>
      <w:r>
        <w:rPr>
          <w:rStyle w:val="expand"/>
          <w:rFonts w:ascii="Arial" w:hAnsi="Arial" w:cs="Arial"/>
          <w:color w:val="000000"/>
          <w:sz w:val="18"/>
          <w:szCs w:val="18"/>
        </w:rPr>
        <w:t>     (Brisan)</w:t>
      </w:r>
      <w:r>
        <w:rPr>
          <w:rFonts w:ascii="Arial" w:hAnsi="Arial" w:cs="Arial"/>
          <w:color w:val="000000"/>
          <w:sz w:val="18"/>
          <w:szCs w:val="18"/>
        </w:rPr>
        <w:br/>
      </w:r>
    </w:p>
    <w:bookmarkEnd w:id="59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30a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4" name="Picture 6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3" name="Picture 6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61" w:name="1032"/>
      <w:bookmarkEnd w:id="61"/>
      <w:r>
        <w:rPr>
          <w:rStyle w:val="expand"/>
          <w:rFonts w:ascii="Arial" w:hAnsi="Arial" w:cs="Arial"/>
          <w:color w:val="000000"/>
          <w:sz w:val="18"/>
          <w:szCs w:val="18"/>
        </w:rPr>
        <w:t>     (Brisan)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62" w:name="clan31"/>
      <w:r>
        <w:rPr>
          <w:rFonts w:ascii="Arial" w:hAnsi="Arial" w:cs="Arial"/>
          <w:b/>
          <w:bCs/>
          <w:color w:val="000000"/>
          <w:sz w:val="18"/>
          <w:szCs w:val="18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2" name="Picture 6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1" name="Picture 6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63" w:name="1033"/>
      <w:bookmarkEnd w:id="6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Novoosnovanom pravnom licu koje obavlja djelatnost u privredno nedovoljno razvijenim opštinama obračunati porez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za prvih osam godina umanjuje se u iznosu od 100%.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Poresko oslobođenje iz stava 1 ovog člana odnosi se 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koju poreski obveznik ostvari u novoosnovanoj poslovnoj jedinici, koja obavlja djelatnost u nedovoljno razvijenoj opštini, srazmjerno učešću dobiti ostvarene u toj poslovnoj jedinici u ukupnoj dobiti poreskog obveznika.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Poresko oslobođenje iz stava 2 ovog člana ostvaruje se pod uslovom da poreski obveznik vodi posebnu evidenciju poslovanja poslovne jedinice u nedovoljno razvijenoj opštini.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Ukupan iznos poreskog oslobođenja iz stava 1 ovog člana za period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osam godina ne može biti veći od 200.000,00 eura.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(5) Prva godina u kojoj se ostvaruje pravo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poresko oslobođenje počinje da teče od dana upisa novoosnovanog pravnog lica u Centralni registar privrednih subjekata (u daljem tekstu: CRPS).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(6) Novoosnovanim pravnim licem ne smatra se: pravno lice nastalo spajanjem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podjelom postojećeg pravnog lica, pravno lice nastalo bilo kojom statusnom promjenom, kao i pravno lice koje je u periodu od tri godine koje prethode osnivanju tog pravnog lica prestalo da postoji, odnosno prekinulo sa poslovanjem u istoj ili sličnoj djelatnosti.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(7) Pravo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oslobođenje ne može ostvariti novoosnovano pravno lice čiji je osnivač, odnosno suosnivač povezano lice.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(8) Ako je poreski obveznik u periodu iz stava 1 ovog člana korisnik državne pomoći u skladu sa posebnim propisom, odnosno ostvario pravo na poresko oslobođenje za novozaposlena lica u skladu sa posebnim propisom i/ili članom 31b ovog zakona, ukupan iznos poreskog oslobođenja ne može biti veći od iznosa iz stava 4 ovog člana.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(9) Izuzetno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stava 8 ovog člana, pravo na poresko oslobođenje iz st. 1 do 5 ovog člana nema poreski obveznik koji je korisnik državne pomoći dodijeljene zbog suočavanja sa poteškoćama u poslovanju, u skladu sa posebnim propisom kojim se uređuje dodjela državne pomoći.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10) Poresko oslobođenje iz st. 1 do 5 ovog člana ne odnosi se na poreskog obveznika koji posluje u sektoru primarne proizvodnje poljoprivrednih proizvoda, transporta, brodogradilišta, ribarstva, čelika, trgovine i ugostiteljstva, osim primarnih ugostiteljskih objekata.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Član 31a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0" name="Picture 6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9" name="Picture 6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64" w:name="1034"/>
      <w:bookmarkEnd w:id="64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Pravo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poresko oslobođenje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anchor="clan31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31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>ovog zakona ostvaruje se na osnovu zahtjeva poreskog obveznika, koji se podnosi nadležnom poreskom organu u roku od 30 dana od dana upisa u CRPS.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Poreski obveznik iz stava1 ovog člana dužan je da za period korišćenja poreskog oslobođenja podnese nadležnom poreskom organu izjavu o bilo kojoj drugoj državnoj pomoći primljenoj tokom prethodnih fiskalnih godina, uključujući i oslobođenja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anchor="clan31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31</w:t>
        </w:r>
      </w:hyperlink>
      <w:r>
        <w:rPr>
          <w:rStyle w:val="expand"/>
          <w:rFonts w:ascii="Arial" w:hAnsi="Arial" w:cs="Arial"/>
          <w:color w:val="000000"/>
          <w:sz w:val="18"/>
          <w:szCs w:val="18"/>
        </w:rPr>
        <w:t>b ovog zakona.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Izjavu iz stava 2 ovog člana poreski obveznik podnosi istovremeno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poreskom prijavom za porez na dobit.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(4) O zahtjevu iz stava 1 ovog člana poreski organ odlučuje rješenjem.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(5) Bliži način korišćenja poreskog oslobođenja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anchor="clan31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31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>ovog zakona, oblik i sadržinu zahtjeva i izjave iz st. 1 i 2 ovog člana propisuje ministarstvo nadležno za finansije.</w:t>
      </w:r>
      <w:r>
        <w:rPr>
          <w:rFonts w:ascii="Arial" w:hAnsi="Arial" w:cs="Arial"/>
          <w:color w:val="000000"/>
          <w:sz w:val="18"/>
          <w:szCs w:val="18"/>
        </w:rPr>
        <w:br/>
      </w:r>
    </w:p>
    <w:bookmarkEnd w:id="62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31b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6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7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65" w:name="1035"/>
      <w:bookmarkEnd w:id="65"/>
      <w:r>
        <w:rPr>
          <w:rStyle w:val="expand"/>
          <w:rFonts w:ascii="Arial" w:hAnsi="Arial" w:cs="Arial"/>
          <w:color w:val="000000"/>
          <w:sz w:val="18"/>
          <w:szCs w:val="18"/>
        </w:rPr>
        <w:t>     (1) Poreski obveznik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anchor="clan31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31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ovog zakona, koji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neodređeno vrijeme ili najmanje na pet godina zaposli lice, oslobađa se obaveze plaćanja obračunatog i obustavljenog poreza iz zarade za tog zaposlenog, za period od četiri godine od dana zasnivanja radnog odnosa.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Zaposlenim licem iz stava 1 ovog člana smatra se lice koje se nalazi na evidenciji Zavoda za zapošljavanje Crne Gore duže od tri mjeseca, sa kojim je poslodavac zaključio ugovor o radu u skladu sa zakonom kojim se uređuju prava i obaveze zaposlenih po osnovu rada, a koje ima prebivalište u nedovoljno razvijenoj opštini.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Zaposlenim licem iz stava 2 ovog člana ne smatra se lice koje je prije zasnivanja radnog odnosa bilo zaposleno kod lica koje je osnivač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je povezano lice sa poslodavcem kod koga zasniva radni odnos, nezavisno od toga da li je postojao prekid radnog odnosa.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Poresko oslobođenje iz stava 1 ovog člana ostvaruje se pod uslovom da je ostvaren neto porast broja zaposlenih u odnosu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prosječan broj zaposlenih kod tog poslodavca za posljednjih 12 mjeseci.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(5) Poresko oslobođenje iz stava 1 ovog člana ne mogu ostvariti državni organi i organizacije, javne ustanove i drugi direktni budžetski korisnici.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(6) Ako poreski obveznik raskine radni odnos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novozaposlenim licem prije isteka tri godine od dana zasnivanja radnog odnosa, osim na zahtjev zaposlenog, dužan je da u roku od 30 dana od raskida radnog odnosa, uplati porez koji bi platio da nije koristio poresko oslobođenje iz stava 1 ovog člana.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66" w:name="clan32"/>
      <w:r>
        <w:rPr>
          <w:rFonts w:ascii="Arial" w:hAnsi="Arial" w:cs="Arial"/>
          <w:b/>
          <w:bCs/>
          <w:color w:val="000000"/>
          <w:sz w:val="18"/>
          <w:szCs w:val="18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67" w:name="1036"/>
      <w:bookmarkEnd w:id="67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Pravnom licu - nevladinoj organizaciji, koja je registrovana za obavljanje privredne djelatnosti, poreska osnovica se umanjuje u visini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4.000 Eura, pod uslovom da dobit iskoristi za ostvarivanje ciljeva zbog kojih je osnovano.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Umanjenje iz stava 1 ovog člana priznaje se najviše do iznosa poreske osnovice.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Umanjenje poreske obaveze</w:t>
      </w:r>
    </w:p>
    <w:p w:rsidR="00C74E9D" w:rsidRDefault="00C74E9D" w:rsidP="00C74E9D">
      <w:pPr>
        <w:rPr>
          <w:rStyle w:val="expand"/>
          <w:color w:val="000000"/>
        </w:rPr>
      </w:pPr>
    </w:p>
    <w:bookmarkEnd w:id="66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32a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68" w:name="1037"/>
      <w:bookmarkEnd w:id="68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Pravno lice koje obračunati porez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uplati u roku utvrđenom ovim zakonom može ostvariti pravo na umanjenje poreske obaveze.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Pravnom licu iz stava 1 ovog člana poreska obaveza se umanjuje za 6%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obračunatog i uplaćenog poreza na dobit.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Pravo iz stava 1 ovog člana ostvaruje se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osnovu zahtjeva pravnog lica koji se podnosi nadležnom poreskom organu, u roku od 15 dana od dana plaćanja poreske obaveze.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O zahtjevu iz stava 3 ovog člana nadležni poreski organ odlučuje rješenjem, u roku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15 dana od dana </w:t>
      </w:r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>podnošenja zahtjeva.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IX IZBJEGAVANJE DVOSTRUKOG OPOREZIVANJA DOBITI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69" w:name="clan33"/>
      <w:bookmarkEnd w:id="69"/>
      <w:r>
        <w:rPr>
          <w:rFonts w:ascii="Arial" w:hAnsi="Arial" w:cs="Arial"/>
          <w:b/>
          <w:bCs/>
          <w:color w:val="000000"/>
          <w:sz w:val="18"/>
          <w:szCs w:val="18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70" w:name="1038"/>
      <w:bookmarkEnd w:id="70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Rezidentnom poreskom obvezniku, koji ostvari dobit izvan Crne Gore i koji plaća porez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tu dobit u drugoj državi na račun poreza na dobit utvđenog prema odredbama ovog zakona, odobrava se poreski kredit u visini poreza na dobit plaćenog u toj državi.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Poreski kredit iz stava 1 ovog člana ne može biti veći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iznosa koji bi se dobio primjenom odredaba ovog zakona na dobit ostvarenu u drugoj državi.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71" w:name="clan34"/>
      <w:r>
        <w:rPr>
          <w:rFonts w:ascii="Arial" w:hAnsi="Arial" w:cs="Arial"/>
          <w:b/>
          <w:bCs/>
          <w:color w:val="000000"/>
          <w:sz w:val="18"/>
          <w:szCs w:val="18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72" w:name="1039"/>
      <w:bookmarkEnd w:id="72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Sporazum o otklanjanju dvostrukog oporezivanja ima pretežnu važnost u odnosu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odredbe ovog zakona.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Potvrdu o rezidentnosti izdaje poreski organ.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Oblik i sadržinu potvrde o rezidentnosti, u poreske svrhe, propisuje ministarstvo nadležno za finansije.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Međukompanijske dividende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34a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73" w:name="1040"/>
      <w:bookmarkEnd w:id="7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Matičnom preduzeću - rezidentnom obvezniku Crne Gore može se umanjiti obračunati porez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za iznos koji odgovara porezu koji je njegova nerezidentna filijala platila u drugoj državi, na dividende koje se uključuju u prihode matičnog preduzeća.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Prihodi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dividendi iz nerezidentne filijale uključuju se u prihode rezidentnog matičnog preduzeća u iznosu uvećanom za plaćeni porez po odbitku na isplaćene dividende iz stava 1 ovog člana.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Poreski kredit iz stava 1 ovog člana može se koristiti za umanjenje obračunatog poreza matičnog preduzeća, najviše do iznosa poreza koji bi po odredbama ovog zakona bio obračunat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dobit, odnosno na dividendu.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Neiskorišćeni dio poreskog kredita iz stava 1 ovog člana može se prenijeti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račun poreza matičnog preduzeća iz budućih obračunskih perioda, ali ne duže od pet godina.</w:t>
      </w:r>
      <w:r>
        <w:rPr>
          <w:rFonts w:ascii="Arial" w:hAnsi="Arial" w:cs="Arial"/>
          <w:color w:val="000000"/>
          <w:sz w:val="18"/>
          <w:szCs w:val="18"/>
        </w:rPr>
        <w:br/>
      </w:r>
    </w:p>
    <w:bookmarkEnd w:id="71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34b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1" name="Picture 8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2" name="Picture 8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74" w:name="1041"/>
      <w:bookmarkEnd w:id="74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Pravo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poreski kredit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anchor="clan34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34</w:t>
        </w:r>
      </w:hyperlink>
      <w:r>
        <w:rPr>
          <w:rStyle w:val="expand"/>
          <w:rFonts w:ascii="Arial" w:hAnsi="Arial" w:cs="Arial"/>
          <w:color w:val="000000"/>
          <w:sz w:val="18"/>
          <w:szCs w:val="18"/>
        </w:rPr>
        <w:t>a ovog zakona ima matično preduzeće koje je neprekidno u periodu od najmanje godinu dana, koji prethodi podnošenju poreske prijave posjedovalo 10% ili više akcija, odnosno udjela nerezidentne filijale.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Obveznik iz stava 1 ovog člana dužan je da nadležnom poreskom organu podnese odgovarajuće dokaze o veličini svog učešća u kapitalu nerezidentne filijale, dužini trajanja tog učešća i porezu koji je filijala platila u drugoj državi, zajedno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njenim bilansom uspjeha.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Odredbe st. 1 i 2 ovog člana, shodno se primenjuju i u slučaju kada matično preduzeće ostvaruje posrednu kontrolu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nerezidentnom filijalom kroz posjedovanje 10% ili više akcija, odnosno udjela druge nerezidentne filijale.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Način ostvarivanja prava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poreski kredit iz stava 1 ovog člana bliže uređuje ministarstvo nadležno za finansije.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lastRenderedPageBreak/>
        <w:t>X GRUPNO OPOREZIVANJE I TRANSFERNE CIJENE</w:t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Poresko konsolidovanje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75" w:name="clan35"/>
      <w:bookmarkEnd w:id="75"/>
      <w:r>
        <w:rPr>
          <w:rFonts w:ascii="Arial" w:hAnsi="Arial" w:cs="Arial"/>
          <w:b/>
          <w:bCs/>
          <w:color w:val="000000"/>
          <w:sz w:val="18"/>
          <w:szCs w:val="18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3" name="Picture 8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4" name="Picture 8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76" w:name="1042"/>
      <w:bookmarkEnd w:id="76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Matična i zavisna preduzeća, za potrebe poreskog konsolidovanja, čine grupu povezanih preduzeća ako matično preduzeće ima neposrednu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posrednu kontrolu nad najmanje 75% akcija ili udjela zavisnog preduzeća.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Povezana preduzeća imaju pravo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poresko konsolidovanje pod uslovom da su ta preduzeća rezidenti Crne Gore.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Zahtjev za poresku konsolidaciju nadležnom poreskom organu podnosi matično preduzeće najkasnije do 31.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decembra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tekućeg poreskog perioda.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Nadležni poreski organ dužan je da u roku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30 dana od dana podnošenja zahtjeva iz stava 3 ovog člana, odluči o zahtjevu kojim se odobrava poresko konsolidovanje.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77" w:name="clan36"/>
      <w:bookmarkEnd w:id="77"/>
      <w:r>
        <w:rPr>
          <w:rFonts w:ascii="Arial" w:hAnsi="Arial" w:cs="Arial"/>
          <w:b/>
          <w:bCs/>
          <w:color w:val="000000"/>
          <w:sz w:val="18"/>
          <w:szCs w:val="18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5" name="Picture 8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6" name="Picture 8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78" w:name="1043"/>
      <w:bookmarkEnd w:id="78"/>
      <w:r>
        <w:rPr>
          <w:rStyle w:val="expand"/>
          <w:rFonts w:ascii="Arial" w:hAnsi="Arial" w:cs="Arial"/>
          <w:color w:val="000000"/>
          <w:sz w:val="18"/>
          <w:szCs w:val="18"/>
        </w:rPr>
        <w:t>     (1) Svaki član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>grupe povezanih preduzeća dužan je da podnese svoju poresku prijavu nadležnom poreskom organu, a matično preduzeće podnosi konsolidovanu poresku prijavu za grupu povezanih preduzeća.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U konsolidovanoj poreskoj prijavi gubici povezanih preduzeća prebijaju se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račun dobiti drugih povezanih preduzeća u grupi.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Za obračunati porez po konsolidovanoj prijavi poreski obveznici su pojedinačno povezana preduzeća iz grupe, srazmjerno oporezivoj dobiti iz pojedinačne poreske prijave.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Bliži način otklanjanja dvostrukog oslobođenja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dvostrukog oporezivanja pojedinih pozicija u konsolidovanoj poreskoj prijavi propisuje ministar nadležan za finansije.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79" w:name="clan37"/>
      <w:bookmarkEnd w:id="79"/>
      <w:r>
        <w:rPr>
          <w:rFonts w:ascii="Arial" w:hAnsi="Arial" w:cs="Arial"/>
          <w:b/>
          <w:bCs/>
          <w:color w:val="000000"/>
          <w:sz w:val="18"/>
          <w:szCs w:val="18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7" name="Picture 8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8" name="Picture 8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80" w:name="1044"/>
      <w:bookmarkEnd w:id="80"/>
      <w:r>
        <w:rPr>
          <w:rStyle w:val="expand"/>
          <w:rFonts w:ascii="Arial" w:hAnsi="Arial" w:cs="Arial"/>
          <w:color w:val="000000"/>
          <w:sz w:val="18"/>
          <w:szCs w:val="18"/>
        </w:rPr>
        <w:t>     (1) Jednom odobreno poresko konsolidovanje primjenjuje se najmanje pet godina.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(2) Ako se prije isteka perioda iz stava 1 ovog člana, promijene uslovi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anchor="clan35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35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>st. 1 i 2 ovog zakona ili se jedno ili više povezanih preduzeća odluči za pojedinačno oporezivanje, svaki član grupe dužan je da plati srazmjernu razliku poreske olakšice koju je koristio.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Transferne cijene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81" w:name="clan38"/>
      <w:bookmarkEnd w:id="81"/>
      <w:r>
        <w:rPr>
          <w:rFonts w:ascii="Arial" w:hAnsi="Arial" w:cs="Arial"/>
          <w:b/>
          <w:bCs/>
          <w:color w:val="000000"/>
          <w:sz w:val="18"/>
          <w:szCs w:val="18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9" name="Picture 8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0" name="Picture 9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82" w:name="1045"/>
      <w:bookmarkEnd w:id="82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Transfernom cijenom smatra se cijena nastala u vezi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sa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transakcijama sredstava ili stvaranjem obaveza među povezanim licima.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Povezanim licima smatraju se lica između kojih postoje posebni odnosi koji mogu imati neposredni uticaj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uslove ili ekonomske rezultate transakcija između tih lica, u skladu sa zakonom kojim je uređena poreska administracija.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(3) Cijena za koju se očekuje da će se postići u imovinskim transakcijama ili ugovornim obavezama među licima koja su poslovala "van dohvata ruke" ili više postignuta cijena smatraće se cijenom "van dohvata ruke".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(4) Razlika između cijene "van dohvata ruke" i transferne cijene uključuje se u poresku osnovicu.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(5) Cijena "van dohvata ruke" se utvrđuje primjenom metode uporedne cijene, a kada to nije moguće utvrđuje se primjenom metode preprodajne cijene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metode nabavne cijene uvećane za uobičajenu maržu.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>     (6) Bliži način utvrđivanja cijene iz stava 5 ovog člana propisaće ministar nadležan za finansije.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XI OBRAČUNAVANJE I PLAĆANJE POREZA NA DOBIT</w:t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Poreski period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83" w:name="clan39"/>
      <w:bookmarkEnd w:id="83"/>
      <w:r>
        <w:rPr>
          <w:rFonts w:ascii="Arial" w:hAnsi="Arial" w:cs="Arial"/>
          <w:b/>
          <w:bCs/>
          <w:color w:val="000000"/>
          <w:sz w:val="18"/>
          <w:szCs w:val="18"/>
        </w:rPr>
        <w:t>Član 39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1" name="Picture 9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2" name="Picture 9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84" w:name="1046"/>
      <w:bookmarkEnd w:id="84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Poreski period za koji se obračunava porez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je finansijska godina.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Finansijska godina je kalendarska godina, osim u slučaju likvidacije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ili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otpočinjanja obavljanja djelatnosti u toku godine.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Porez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se obračunava nakon isteka finansijske godine ili drugog perioda utvrđivanja poreza, prema poreskoj osnovici ostvarenoj u tom periodu.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Poreska prijava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85" w:name="clan40"/>
      <w:bookmarkEnd w:id="85"/>
      <w:r>
        <w:rPr>
          <w:rFonts w:ascii="Arial" w:hAnsi="Arial" w:cs="Arial"/>
          <w:b/>
          <w:bCs/>
          <w:color w:val="000000"/>
          <w:sz w:val="18"/>
          <w:szCs w:val="18"/>
        </w:rPr>
        <w:t>Član 40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3" name="Picture 9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4" name="Picture 9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86" w:name="1047"/>
      <w:bookmarkEnd w:id="86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(1) Obveznik poreza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je dužan da za period za koji se obračunava porez na dobit, nadležnom poreskom organu podnese poresku prijavu.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Prijava iz stava 1 ovog člana podnosi se najkasnije u roku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tri mjeseca od isteka perioda za koji se obračunava porez.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U istom roku vrši se i uplata poreza iskazanog u prijavi.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(3) Poreski obveznik uz prijavu iz stava 1 ovog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lana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dostavlja bilans uspjeha i bilans stanja, pripremljene u skladu sa zakonom kojim se uređuje računovodstvo.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(4) Oblik i sadržinu poreske prijave,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predlog nadležnog poreskog organa, propisuje ministar nadležan za finansije.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87" w:name="clan41"/>
      <w:bookmarkEnd w:id="87"/>
      <w:r>
        <w:rPr>
          <w:rFonts w:ascii="Arial" w:hAnsi="Arial" w:cs="Arial"/>
          <w:b/>
          <w:bCs/>
          <w:color w:val="000000"/>
          <w:sz w:val="18"/>
          <w:szCs w:val="18"/>
        </w:rPr>
        <w:t>Član 41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5" name="Picture 9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6" name="Picture 9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88" w:name="1048"/>
      <w:bookmarkEnd w:id="88"/>
      <w:r>
        <w:rPr>
          <w:rStyle w:val="expand"/>
          <w:rFonts w:ascii="Arial" w:hAnsi="Arial" w:cs="Arial"/>
          <w:color w:val="000000"/>
          <w:sz w:val="18"/>
          <w:szCs w:val="18"/>
        </w:rPr>
        <w:t>     (Brisan)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Shodna primjena drugih propisa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89" w:name="clan42"/>
      <w:r>
        <w:rPr>
          <w:rFonts w:ascii="Arial" w:hAnsi="Arial" w:cs="Arial"/>
          <w:b/>
          <w:bCs/>
          <w:color w:val="000000"/>
          <w:sz w:val="18"/>
          <w:szCs w:val="18"/>
        </w:rPr>
        <w:t>Član 42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7" name="Picture 9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8" name="Picture 9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90" w:name="1049"/>
      <w:bookmarkEnd w:id="90"/>
      <w:r>
        <w:rPr>
          <w:rStyle w:val="expand"/>
          <w:rFonts w:ascii="Arial" w:hAnsi="Arial" w:cs="Arial"/>
          <w:color w:val="000000"/>
          <w:sz w:val="18"/>
          <w:szCs w:val="18"/>
        </w:rPr>
        <w:t>     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 odnose koji nijesu posebno uređeni ovim zakonom (žalbeni postupak, postupak prinudne naplate, kamate i dr.) shodno se primjenjuje zakon kojim se uređuje poreski postupak.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XIa KAZNENE ODREDBE</w:t>
      </w:r>
    </w:p>
    <w:p w:rsidR="00C74E9D" w:rsidRDefault="00C74E9D" w:rsidP="00C74E9D">
      <w:pPr>
        <w:rPr>
          <w:rStyle w:val="expand"/>
          <w:color w:val="000000"/>
        </w:rPr>
      </w:pPr>
    </w:p>
    <w:bookmarkEnd w:id="89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42a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9" name="Picture 9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0" name="Picture 10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Fonts w:ascii="Times New Roman" w:hAnsi="Times New Roman" w:cs="Times New Roman"/>
          <w:sz w:val="24"/>
          <w:szCs w:val="24"/>
        </w:rPr>
      </w:pPr>
      <w:bookmarkStart w:id="91" w:name="1050"/>
      <w:bookmarkEnd w:id="91"/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>     (1) Novčanom kaznom od 550 eura do 16.500 eura kazniće se za prekršaj pravno lice - poreski obveznik, ako: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1) ako ne obračuna, netačno obračuna ili ne uplati porez po odbitku na isplaćene prihode iz člana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anchor="clan29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29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>ovog zakona;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2) ako u propisanom roku ne podnese izvještaj o obračunatom porezu po odbitku (član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anchor="clan29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29</w:t>
        </w:r>
      </w:hyperlink>
      <w:r>
        <w:rPr>
          <w:rStyle w:val="expand"/>
          <w:rFonts w:ascii="Arial" w:hAnsi="Arial" w:cs="Arial"/>
          <w:color w:val="000000"/>
          <w:sz w:val="18"/>
          <w:szCs w:val="18"/>
        </w:rPr>
        <w:t>a);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>     3) nadležnom poreskom organu u propisanom roku ne podnese poresku prijavu ili ako uz prijavu ne dostavi dokaz o uplaćenom porezu, odnosno bilans uspjeha i bilans stanja (član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7" w:anchor="clan40" w:history="1">
        <w:r>
          <w:rPr>
            <w:rStyle w:val="Hyperlink"/>
            <w:rFonts w:ascii="Arial" w:hAnsi="Arial" w:cs="Arial"/>
            <w:color w:val="8A082A"/>
            <w:sz w:val="18"/>
            <w:szCs w:val="18"/>
          </w:rPr>
          <w:t>40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expand"/>
          <w:rFonts w:ascii="Arial" w:hAnsi="Arial" w:cs="Arial"/>
          <w:color w:val="000000"/>
          <w:sz w:val="18"/>
          <w:szCs w:val="18"/>
        </w:rPr>
        <w:t>st. 2 i 3).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(2) Za prekršaj iz stava 1 ovog člana kazniće se i odgovorno lice u pravnom licu novčanom kaznom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110 eura do 1.100 eura.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  <w:rPr>
          <w:rFonts w:ascii="Arial" w:hAnsi="Arial" w:cs="Arial"/>
          <w:b/>
          <w:bCs/>
          <w:color w:val="8A082A"/>
          <w:sz w:val="18"/>
          <w:szCs w:val="18"/>
        </w:rPr>
      </w:pPr>
      <w:r>
        <w:rPr>
          <w:rFonts w:ascii="Arial" w:hAnsi="Arial" w:cs="Arial"/>
          <w:b/>
          <w:bCs/>
          <w:color w:val="8A082A"/>
          <w:sz w:val="18"/>
          <w:szCs w:val="18"/>
        </w:rPr>
        <w:t>XII PRELAZNE I ZAVRŠNE ODREDBE</w:t>
      </w:r>
    </w:p>
    <w:p w:rsidR="00C74E9D" w:rsidRDefault="00C74E9D" w:rsidP="00C74E9D">
      <w:pPr>
        <w:rPr>
          <w:rStyle w:val="expand"/>
          <w:color w:val="000000"/>
        </w:rPr>
      </w:pPr>
    </w:p>
    <w:p w:rsidR="00C74E9D" w:rsidRDefault="00C74E9D" w:rsidP="00C74E9D">
      <w:pPr>
        <w:jc w:val="center"/>
      </w:pPr>
      <w:bookmarkStart w:id="92" w:name="clan43"/>
      <w:r>
        <w:rPr>
          <w:rFonts w:ascii="Arial" w:hAnsi="Arial" w:cs="Arial"/>
          <w:b/>
          <w:bCs/>
          <w:color w:val="000000"/>
          <w:sz w:val="18"/>
          <w:szCs w:val="18"/>
        </w:rPr>
        <w:t>Član 43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1" name="Picture 10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2" name="Picture 10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93" w:name="1051"/>
      <w:bookmarkEnd w:id="93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Bliže propise za primjenu ovog zakona donijeće ministar nadležan za finansije, u roku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šest mjeseci od dana stupanja na snagu ovog zakona.</w:t>
      </w:r>
      <w:r>
        <w:rPr>
          <w:rFonts w:ascii="Arial" w:hAnsi="Arial" w:cs="Arial"/>
          <w:color w:val="000000"/>
          <w:sz w:val="18"/>
          <w:szCs w:val="18"/>
        </w:rPr>
        <w:br/>
      </w:r>
    </w:p>
    <w:bookmarkEnd w:id="92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43a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3" name="Picture 10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4" name="Picture 10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94" w:name="1052"/>
      <w:bookmarkEnd w:id="94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Izuzetno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člana 29 stav 2 ovog zakona, do 1.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januara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2010.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godine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>, stopa poreza po odbitku na kamate koje se isplaćuju nerezidentnim pravnim licima, iznosi 5%.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95" w:name="clan44"/>
      <w:r>
        <w:rPr>
          <w:rFonts w:ascii="Arial" w:hAnsi="Arial" w:cs="Arial"/>
          <w:b/>
          <w:bCs/>
          <w:color w:val="000000"/>
          <w:sz w:val="18"/>
          <w:szCs w:val="18"/>
        </w:rPr>
        <w:t>Član 44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5" name="Picture 10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6" name="Picture 10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96" w:name="1053"/>
      <w:bookmarkEnd w:id="96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Poreski obveznici koji su stekli pravo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korišćenje poreskih olakšica po odredbama Zakona o porezu na dobit preduzeća ("Službeni list RCG", br. 3/92, 30/93, 3/94, 42/94, 13/96 i 45/98) nastaviće sa njihovim korišćenjem do njihovog isteka.</w:t>
      </w:r>
      <w:r>
        <w:rPr>
          <w:rFonts w:ascii="Arial" w:hAnsi="Arial" w:cs="Arial"/>
          <w:color w:val="000000"/>
          <w:sz w:val="18"/>
          <w:szCs w:val="18"/>
        </w:rPr>
        <w:br/>
      </w:r>
    </w:p>
    <w:bookmarkEnd w:id="95"/>
    <w:p w:rsidR="00C74E9D" w:rsidRDefault="00C74E9D" w:rsidP="00C74E9D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>Član 44a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7" name="Picture 107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8" name="Picture 108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97" w:name="1054"/>
      <w:bookmarkEnd w:id="97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Poreski obveznici koji su ostvarili pravo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poresko oslobođenje za obavljanje proizvodne djelatnosti u nedovoljno razvijenim opštinama do dana stupanja na snagu ovog zakona nastaviće se njegovim korišćenjem u skladu sa ovim zakonom.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98" w:name="clan45"/>
      <w:bookmarkEnd w:id="98"/>
      <w:r>
        <w:rPr>
          <w:rFonts w:ascii="Arial" w:hAnsi="Arial" w:cs="Arial"/>
          <w:b/>
          <w:bCs/>
          <w:color w:val="000000"/>
          <w:sz w:val="18"/>
          <w:szCs w:val="18"/>
        </w:rPr>
        <w:t>Član 45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9" name="Picture 109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0" name="Picture 110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99" w:name="1055"/>
      <w:bookmarkEnd w:id="99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Izuzetno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od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člana 41 ovog zakona, mjesečna akontacija poreza na dobit za period januar-april 2002.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godine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plaća se u visini poslednje plaćene mjesečne akontacije poreza na dobit za 2001.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godinu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100" w:name="clan46"/>
      <w:bookmarkEnd w:id="100"/>
      <w:r>
        <w:rPr>
          <w:rFonts w:ascii="Arial" w:hAnsi="Arial" w:cs="Arial"/>
          <w:b/>
          <w:bCs/>
          <w:color w:val="000000"/>
          <w:sz w:val="18"/>
          <w:szCs w:val="18"/>
        </w:rPr>
        <w:t>Član 46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1" name="Picture 111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2" name="Picture 112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101" w:name="1056"/>
      <w:bookmarkEnd w:id="101"/>
      <w:r>
        <w:rPr>
          <w:rStyle w:val="expand"/>
          <w:rFonts w:ascii="Arial" w:hAnsi="Arial" w:cs="Arial"/>
          <w:color w:val="000000"/>
          <w:sz w:val="18"/>
          <w:szCs w:val="18"/>
        </w:rPr>
        <w:t>     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Poreski bilans za 2001.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godinu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sastavlja se u skladu sa Zakonom o porezu na dobit preduzeća ("Službeni list RCG", br. 3/92, 30/93, 3/94, 42/94, 13/96 i 45/98) i propisa donesenih na osnovu tog zakona.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102" w:name="clan47"/>
      <w:bookmarkEnd w:id="102"/>
      <w:r>
        <w:rPr>
          <w:rFonts w:ascii="Arial" w:hAnsi="Arial" w:cs="Arial"/>
          <w:b/>
          <w:bCs/>
          <w:color w:val="000000"/>
          <w:sz w:val="18"/>
          <w:szCs w:val="18"/>
        </w:rPr>
        <w:t>Član 47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3" name="Picture 113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4" name="Picture 114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9D" w:rsidRDefault="00C74E9D" w:rsidP="00C74E9D">
      <w:pPr>
        <w:rPr>
          <w:rStyle w:val="expand"/>
        </w:rPr>
      </w:pPr>
      <w:bookmarkStart w:id="103" w:name="1057"/>
      <w:bookmarkEnd w:id="103"/>
      <w:r>
        <w:rPr>
          <w:rStyle w:val="expand"/>
          <w:rFonts w:ascii="Arial" w:hAnsi="Arial" w:cs="Arial"/>
          <w:color w:val="000000"/>
          <w:sz w:val="18"/>
          <w:szCs w:val="18"/>
        </w:rPr>
        <w:lastRenderedPageBreak/>
        <w:t xml:space="preserve">     Danom primjene ovog zakona prestaje da važi Zakon o porezu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dobit preduzeća ("Službeni list RCG", br. 3/92, 30/93, 3/94, 42/94, 13/96 i 45/98) i propisi doneseni na osnovu tog zakona.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C74E9D" w:rsidRDefault="00C74E9D" w:rsidP="00C74E9D">
      <w:pPr>
        <w:jc w:val="center"/>
      </w:pPr>
      <w:bookmarkStart w:id="104" w:name="clan48"/>
      <w:bookmarkEnd w:id="104"/>
      <w:r>
        <w:rPr>
          <w:rFonts w:ascii="Arial" w:hAnsi="Arial" w:cs="Arial"/>
          <w:b/>
          <w:bCs/>
          <w:color w:val="000000"/>
          <w:sz w:val="18"/>
          <w:szCs w:val="18"/>
        </w:rPr>
        <w:t>Član 48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5" name="Picture 115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6" name="Picture 116" descr="http://www.podaci.net/_novo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podaci.net/_novo/img/prazn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9EB" w:rsidRPr="00C74E9D" w:rsidRDefault="00C74E9D" w:rsidP="00C74E9D">
      <w:bookmarkStart w:id="105" w:name="1058"/>
      <w:bookmarkEnd w:id="105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     Ovaj zakon stupa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na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snagu osmog dana od dana objavljivanja u "Službenom listu Republike Crne Gore", a primjenjivaće se od 1.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januara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 xml:space="preserve"> 2002. </w:t>
      </w:r>
      <w:proofErr w:type="gramStart"/>
      <w:r>
        <w:rPr>
          <w:rStyle w:val="expand"/>
          <w:rFonts w:ascii="Arial" w:hAnsi="Arial" w:cs="Arial"/>
          <w:color w:val="000000"/>
          <w:sz w:val="18"/>
          <w:szCs w:val="18"/>
        </w:rPr>
        <w:t>godine</w:t>
      </w:r>
      <w:proofErr w:type="gramEnd"/>
      <w:r>
        <w:rPr>
          <w:rStyle w:val="expand"/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A819EB" w:rsidRPr="00C74E9D" w:rsidSect="00A8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C4C8C"/>
    <w:rsid w:val="00055574"/>
    <w:rsid w:val="000E2E5F"/>
    <w:rsid w:val="00406D74"/>
    <w:rsid w:val="00422C4E"/>
    <w:rsid w:val="004850A6"/>
    <w:rsid w:val="00744C08"/>
    <w:rsid w:val="00821E74"/>
    <w:rsid w:val="009C4C8C"/>
    <w:rsid w:val="00A14E02"/>
    <w:rsid w:val="00A819EB"/>
    <w:rsid w:val="00BD56F3"/>
    <w:rsid w:val="00C74E9D"/>
    <w:rsid w:val="00D23DBA"/>
    <w:rsid w:val="00DA79F2"/>
    <w:rsid w:val="00DF43CB"/>
    <w:rsid w:val="00E0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4C8C"/>
    <w:rPr>
      <w:b/>
      <w:bCs/>
    </w:rPr>
  </w:style>
  <w:style w:type="character" w:styleId="Emphasis">
    <w:name w:val="Emphasis"/>
    <w:basedOn w:val="DefaultParagraphFont"/>
    <w:uiPriority w:val="20"/>
    <w:qFormat/>
    <w:rsid w:val="009C4C8C"/>
    <w:rPr>
      <w:i/>
      <w:iCs/>
    </w:rPr>
  </w:style>
  <w:style w:type="character" w:customStyle="1" w:styleId="expand">
    <w:name w:val="expand"/>
    <w:basedOn w:val="DefaultParagraphFont"/>
    <w:rsid w:val="004850A6"/>
  </w:style>
  <w:style w:type="character" w:customStyle="1" w:styleId="apple-converted-space">
    <w:name w:val="apple-converted-space"/>
    <w:basedOn w:val="DefaultParagraphFont"/>
    <w:rsid w:val="004850A6"/>
  </w:style>
  <w:style w:type="character" w:styleId="Hyperlink">
    <w:name w:val="Hyperlink"/>
    <w:basedOn w:val="DefaultParagraphFont"/>
    <w:uiPriority w:val="99"/>
    <w:semiHidden/>
    <w:unhideWhenUsed/>
    <w:rsid w:val="004850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D56F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3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2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7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5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5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0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podaci.net/_novo/prikaz-b.php?db=&amp;what=Z-pdplic04v0165-1361&amp;draft=0&amp;html=&amp;nas=16948&amp;nad=4&amp;god=2001&amp;status=1" TargetMode="External"/><Relationship Id="rId14" Type="http://schemas.openxmlformats.org/officeDocument/2006/relationships/hyperlink" Target="http://www.podaci.net/_novo/prikaz-b.php?db=&amp;what=Z-pdplic04v0165-1361&amp;draft=0&amp;html=&amp;nas=16948&amp;nad=4&amp;god=2001&amp;statu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5006</Words>
  <Characters>28540</Characters>
  <Application>Microsoft Office Word</Application>
  <DocSecurity>0</DocSecurity>
  <Lines>237</Lines>
  <Paragraphs>66</Paragraphs>
  <ScaleCrop>false</ScaleCrop>
  <Company>Hewlett-Packard Company</Company>
  <LinksUpToDate>false</LinksUpToDate>
  <CharactersWithSpaces>33480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jovana.vlaisavljevic</cp:lastModifiedBy>
  <cp:revision>2</cp:revision>
  <cp:lastPrinted>2014-11-10T11:29:00Z</cp:lastPrinted>
  <dcterms:created xsi:type="dcterms:W3CDTF">2015-11-12T09:29:00Z</dcterms:created>
  <dcterms:modified xsi:type="dcterms:W3CDTF">2015-11-12T09:29:00Z</dcterms:modified>
</cp:coreProperties>
</file>